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90" w:rsidRPr="00DD5E2A" w:rsidRDefault="004B3961" w:rsidP="004C029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-158115</wp:posOffset>
                </wp:positionV>
                <wp:extent cx="5775960" cy="9136380"/>
                <wp:effectExtent l="0" t="381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9136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E2A" w:rsidRDefault="00DD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12.45pt;width:454.8pt;height:7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" fillcolor="#e5b8b7 [1301]" stroked="f" strokecolor="black [3213]" strokeweight=".25pt">
                <v:shadow color="#622423 [1605]" opacity=".5" offset="1pt"/>
                <v:textbox>
                  <w:txbxContent>
                    <w:p w:rsidR="00DD5E2A" w:rsidRDefault="00DD5E2A"/>
                  </w:txbxContent>
                </v:textbox>
              </v:shape>
            </w:pict>
          </mc:Fallback>
        </mc:AlternateContent>
      </w:r>
      <w:r w:rsidR="004C0290" w:rsidRPr="00DD5E2A">
        <w:rPr>
          <w:rFonts w:cs="Arial"/>
          <w:sz w:val="22"/>
          <w:u w:val="single"/>
        </w:rPr>
        <w:t>To carryout functions set out in the Code specifically for local authorities and no other body.</w:t>
      </w:r>
    </w:p>
    <w:p w:rsidR="004C0290" w:rsidRPr="00DD5E2A" w:rsidRDefault="004C0290" w:rsidP="006C6F4E">
      <w:pPr>
        <w:tabs>
          <w:tab w:val="left" w:pos="6624"/>
        </w:tabs>
        <w:ind w:firstLine="720"/>
        <w:rPr>
          <w:rFonts w:cs="Arial"/>
          <w:sz w:val="22"/>
        </w:rPr>
      </w:pPr>
      <w:r w:rsidRPr="00DD5E2A">
        <w:rPr>
          <w:rFonts w:cs="Arial"/>
          <w:sz w:val="22"/>
        </w:rPr>
        <w:t xml:space="preserve">(References are to the </w:t>
      </w:r>
      <w:r w:rsidR="00EE5A47">
        <w:rPr>
          <w:rFonts w:cs="Arial"/>
          <w:sz w:val="22"/>
        </w:rPr>
        <w:t>2014 School Admissions Code</w:t>
      </w:r>
      <w:r w:rsidR="00B100B3">
        <w:rPr>
          <w:rFonts w:cs="Arial"/>
          <w:sz w:val="22"/>
        </w:rPr>
        <w:t xml:space="preserve"> - December 2014</w:t>
      </w:r>
      <w:r w:rsidRPr="00DD5E2A">
        <w:rPr>
          <w:rFonts w:cs="Arial"/>
          <w:sz w:val="22"/>
        </w:rPr>
        <w:t xml:space="preserve">) </w:t>
      </w:r>
      <w:r w:rsidR="006C6F4E" w:rsidRPr="00DD5E2A">
        <w:rPr>
          <w:rFonts w:cs="Arial"/>
          <w:sz w:val="22"/>
        </w:rPr>
        <w:tab/>
      </w: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logging P</w:t>
      </w:r>
      <w:r w:rsidR="00057698">
        <w:rPr>
          <w:rFonts w:cs="Arial"/>
          <w:sz w:val="22"/>
        </w:rPr>
        <w:t xml:space="preserve">ublished </w:t>
      </w:r>
      <w:r w:rsidRPr="00DD5E2A">
        <w:rPr>
          <w:rFonts w:cs="Arial"/>
          <w:sz w:val="22"/>
        </w:rPr>
        <w:t>A</w:t>
      </w:r>
      <w:r w:rsidR="00057698">
        <w:rPr>
          <w:rFonts w:cs="Arial"/>
          <w:sz w:val="22"/>
        </w:rPr>
        <w:t xml:space="preserve">dmission </w:t>
      </w:r>
      <w:r w:rsidRPr="00DD5E2A">
        <w:rPr>
          <w:rFonts w:cs="Arial"/>
          <w:sz w:val="22"/>
        </w:rPr>
        <w:t>N</w:t>
      </w:r>
      <w:r w:rsidR="00057698">
        <w:rPr>
          <w:rFonts w:cs="Arial"/>
          <w:sz w:val="22"/>
        </w:rPr>
        <w:t>umber (PAN)</w:t>
      </w:r>
      <w:r w:rsidRPr="00DD5E2A">
        <w:rPr>
          <w:rFonts w:cs="Arial"/>
          <w:sz w:val="22"/>
        </w:rPr>
        <w:t xml:space="preserve"> increases (paragraph 1.4)</w:t>
      </w:r>
    </w:p>
    <w:p w:rsidR="004C0290" w:rsidRPr="00DD5E2A" w:rsidRDefault="004C0290" w:rsidP="004C0290">
      <w:pPr>
        <w:pStyle w:val="ListParagraph"/>
        <w:ind w:left="750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consulting 'Ow</w:t>
      </w:r>
      <w:r w:rsidR="00DD5E2A">
        <w:rPr>
          <w:rFonts w:cs="Arial"/>
          <w:sz w:val="22"/>
        </w:rPr>
        <w:t>n Admissions Authorities' ('OAA</w:t>
      </w:r>
      <w:r w:rsidRPr="00DD5E2A">
        <w:rPr>
          <w:rFonts w:cs="Arial"/>
          <w:sz w:val="22"/>
        </w:rPr>
        <w:t>s</w:t>
      </w:r>
      <w:r w:rsidR="00DD5E2A">
        <w:rPr>
          <w:rFonts w:cs="Arial"/>
          <w:sz w:val="22"/>
        </w:rPr>
        <w:t>'</w:t>
      </w:r>
      <w:r w:rsidRPr="00DD5E2A">
        <w:rPr>
          <w:rFonts w:cs="Arial"/>
          <w:sz w:val="22"/>
        </w:rPr>
        <w:t>) and responding to their consultations by 1 March (paragraphs 1.42 – 1.45)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receiving determined arrangements from OAAs by 1 Ma</w:t>
      </w:r>
      <w:r w:rsidR="000C6160">
        <w:rPr>
          <w:rFonts w:cs="Arial"/>
          <w:sz w:val="22"/>
        </w:rPr>
        <w:t>rch</w:t>
      </w:r>
      <w:r w:rsidRPr="00DD5E2A">
        <w:rPr>
          <w:rFonts w:cs="Arial"/>
          <w:sz w:val="22"/>
        </w:rPr>
        <w:t xml:space="preserve"> (paragraph 1.4</w:t>
      </w:r>
      <w:r w:rsidR="000C6160">
        <w:rPr>
          <w:rFonts w:cs="Arial"/>
          <w:sz w:val="22"/>
        </w:rPr>
        <w:t>4</w:t>
      </w:r>
      <w:r w:rsidRPr="00DD5E2A">
        <w:rPr>
          <w:rFonts w:cs="Arial"/>
          <w:sz w:val="22"/>
        </w:rPr>
        <w:t>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publish admission arrangements for new schools and academies by 1</w:t>
      </w:r>
      <w:r w:rsidR="00057698">
        <w:rPr>
          <w:rFonts w:cs="Arial"/>
          <w:sz w:val="22"/>
        </w:rPr>
        <w:t>5 March</w:t>
      </w:r>
      <w:r w:rsidRPr="00DD5E2A">
        <w:rPr>
          <w:rFonts w:cs="Arial"/>
          <w:sz w:val="22"/>
        </w:rPr>
        <w:t xml:space="preserve"> (paragraph 1.49)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 xml:space="preserve">make any necessary objections by </w:t>
      </w:r>
      <w:r w:rsidR="007227DD">
        <w:rPr>
          <w:rFonts w:cs="Arial"/>
          <w:sz w:val="22"/>
        </w:rPr>
        <w:t>15</w:t>
      </w:r>
      <w:r w:rsidRPr="00DD5E2A">
        <w:rPr>
          <w:rFonts w:cs="Arial"/>
          <w:sz w:val="22"/>
        </w:rPr>
        <w:t xml:space="preserve"> </w:t>
      </w:r>
      <w:r w:rsidR="007227DD">
        <w:rPr>
          <w:rFonts w:cs="Arial"/>
          <w:sz w:val="22"/>
        </w:rPr>
        <w:t xml:space="preserve">May </w:t>
      </w:r>
      <w:r w:rsidRPr="00DD5E2A">
        <w:rPr>
          <w:rFonts w:cs="Arial"/>
          <w:sz w:val="22"/>
        </w:rPr>
        <w:t xml:space="preserve"> (paragraph 1.50)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publish composite prospectus by 12 September and keep it up to date (paragraph 1.51)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provide a common application form (CAF) (paragraph 2.1)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receive all CAF's and pass on applications to other relevant local authorities (paragraph 2</w:t>
      </w:r>
      <w:r w:rsidR="00683091" w:rsidRPr="00DD5E2A">
        <w:rPr>
          <w:rFonts w:cs="Arial"/>
          <w:sz w:val="22"/>
        </w:rPr>
        <w:t>.</w:t>
      </w:r>
      <w:r w:rsidRPr="00DD5E2A">
        <w:rPr>
          <w:rFonts w:cs="Arial"/>
          <w:sz w:val="22"/>
        </w:rPr>
        <w:t>3)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 xml:space="preserve">maintain a list of offers, including withdrawn offers (paragraphs 2.10, </w:t>
      </w:r>
      <w:r w:rsidR="00172E2D">
        <w:rPr>
          <w:rFonts w:cs="Arial"/>
          <w:sz w:val="22"/>
        </w:rPr>
        <w:t xml:space="preserve"> 2.11, </w:t>
      </w:r>
      <w:r w:rsidRPr="00DD5E2A">
        <w:rPr>
          <w:rFonts w:cs="Arial"/>
          <w:sz w:val="22"/>
        </w:rPr>
        <w:t xml:space="preserve">2.12, </w:t>
      </w:r>
      <w:r w:rsidR="00172E2D">
        <w:rPr>
          <w:rFonts w:cs="Arial"/>
          <w:sz w:val="22"/>
        </w:rPr>
        <w:t xml:space="preserve">and </w:t>
      </w:r>
      <w:r w:rsidRPr="00DD5E2A">
        <w:rPr>
          <w:rFonts w:cs="Arial"/>
          <w:sz w:val="22"/>
        </w:rPr>
        <w:t>2.13)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 xml:space="preserve">send notifications of all offers to parents (2.10) on the </w:t>
      </w:r>
      <w:r w:rsidR="00172E2D">
        <w:rPr>
          <w:rFonts w:cs="Arial"/>
          <w:sz w:val="22"/>
        </w:rPr>
        <w:t xml:space="preserve">statutory </w:t>
      </w:r>
      <w:r w:rsidRPr="00DD5E2A">
        <w:rPr>
          <w:rFonts w:cs="Arial"/>
          <w:sz w:val="22"/>
        </w:rPr>
        <w:t>national offer day (paragraph 2.23)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offer a place to every child – in a preferred school if possible (paragraph 2.11)</w:t>
      </w:r>
    </w:p>
    <w:p w:rsidR="004C0290" w:rsidRPr="00DD5E2A" w:rsidRDefault="004C0290" w:rsidP="004C0290">
      <w:pPr>
        <w:pStyle w:val="ListParagraph"/>
        <w:rPr>
          <w:rFonts w:cs="Arial"/>
          <w:sz w:val="22"/>
        </w:rPr>
      </w:pPr>
    </w:p>
    <w:p w:rsidR="004C0290" w:rsidRPr="00DD5E2A" w:rsidRDefault="004C029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 xml:space="preserve">consult on and publish a coordination scheme </w:t>
      </w:r>
      <w:r w:rsidR="001030C0" w:rsidRPr="00DD5E2A">
        <w:rPr>
          <w:rFonts w:cs="Arial"/>
          <w:sz w:val="22"/>
        </w:rPr>
        <w:t xml:space="preserve">by 1 January  and inform the Secretary of State by </w:t>
      </w:r>
      <w:r w:rsidR="003A716C">
        <w:rPr>
          <w:rFonts w:cs="Arial"/>
          <w:sz w:val="22"/>
        </w:rPr>
        <w:t>28 February</w:t>
      </w:r>
      <w:r w:rsidR="001030C0" w:rsidRPr="00DD5E2A">
        <w:rPr>
          <w:rFonts w:cs="Arial"/>
          <w:sz w:val="22"/>
        </w:rPr>
        <w:t xml:space="preserve"> (paragraph 2.20)</w:t>
      </w:r>
    </w:p>
    <w:p w:rsidR="001030C0" w:rsidRPr="00DD5E2A" w:rsidRDefault="001030C0" w:rsidP="001030C0">
      <w:pPr>
        <w:pStyle w:val="ListParagraph"/>
        <w:rPr>
          <w:rFonts w:cs="Arial"/>
          <w:sz w:val="22"/>
        </w:rPr>
      </w:pPr>
    </w:p>
    <w:p w:rsidR="001030C0" w:rsidRPr="00DD5E2A" w:rsidRDefault="0050352E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must in the composite prospectus refer to how in year applications can be made</w:t>
      </w:r>
      <w:r w:rsidR="001030C0" w:rsidRPr="00DD5E2A">
        <w:rPr>
          <w:rFonts w:cs="Arial"/>
          <w:sz w:val="22"/>
        </w:rPr>
        <w:t xml:space="preserve"> (paragraph 2.21)</w:t>
      </w:r>
    </w:p>
    <w:p w:rsidR="001030C0" w:rsidRPr="00DD5E2A" w:rsidRDefault="001030C0" w:rsidP="001030C0">
      <w:pPr>
        <w:pStyle w:val="ListParagraph"/>
        <w:rPr>
          <w:rFonts w:cs="Arial"/>
          <w:sz w:val="22"/>
        </w:rPr>
      </w:pPr>
    </w:p>
    <w:p w:rsidR="001030C0" w:rsidRPr="00DD5E2A" w:rsidRDefault="0026280B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must in</w:t>
      </w:r>
      <w:r w:rsidR="001030C0" w:rsidRPr="00DD5E2A">
        <w:rPr>
          <w:rFonts w:cs="Arial"/>
          <w:sz w:val="22"/>
        </w:rPr>
        <w:t xml:space="preserve"> the composite prospectus </w:t>
      </w:r>
      <w:r>
        <w:rPr>
          <w:rFonts w:cs="Arial"/>
          <w:sz w:val="22"/>
        </w:rPr>
        <w:t xml:space="preserve">refer to </w:t>
      </w:r>
      <w:r w:rsidR="001030C0" w:rsidRPr="00DD5E2A">
        <w:rPr>
          <w:rFonts w:cs="Arial"/>
          <w:sz w:val="22"/>
        </w:rPr>
        <w:t>how</w:t>
      </w:r>
      <w:r>
        <w:rPr>
          <w:rFonts w:cs="Arial"/>
          <w:sz w:val="22"/>
        </w:rPr>
        <w:t xml:space="preserve"> parents can find out where there are available places </w:t>
      </w:r>
      <w:r w:rsidR="001030C0" w:rsidRPr="00DD5E2A">
        <w:rPr>
          <w:rFonts w:cs="Arial"/>
          <w:sz w:val="22"/>
        </w:rPr>
        <w:t>(paragraph 2.21)</w:t>
      </w:r>
    </w:p>
    <w:p w:rsidR="001030C0" w:rsidRPr="00DD5E2A" w:rsidRDefault="001030C0" w:rsidP="001030C0">
      <w:pPr>
        <w:pStyle w:val="ListParagraph"/>
        <w:rPr>
          <w:rFonts w:cs="Arial"/>
          <w:sz w:val="22"/>
        </w:rPr>
      </w:pPr>
    </w:p>
    <w:p w:rsidR="001030C0" w:rsidRPr="00DD5E2A" w:rsidRDefault="001030C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Log notification from OAAs of in year applications</w:t>
      </w:r>
      <w:r w:rsidR="0026280B">
        <w:rPr>
          <w:rFonts w:cs="Arial"/>
          <w:sz w:val="22"/>
        </w:rPr>
        <w:t>. The admission authority must</w:t>
      </w:r>
      <w:r w:rsidRPr="00DD5E2A">
        <w:rPr>
          <w:rFonts w:cs="Arial"/>
          <w:sz w:val="22"/>
        </w:rPr>
        <w:t xml:space="preserve"> inform parents of the</w:t>
      </w:r>
      <w:r w:rsidR="0026280B">
        <w:rPr>
          <w:rFonts w:cs="Arial"/>
          <w:sz w:val="22"/>
        </w:rPr>
        <w:t>ir</w:t>
      </w:r>
      <w:r w:rsidRPr="00DD5E2A">
        <w:rPr>
          <w:rFonts w:cs="Arial"/>
          <w:sz w:val="22"/>
        </w:rPr>
        <w:t xml:space="preserve"> right to appeal (paragraph 2.22)</w:t>
      </w:r>
    </w:p>
    <w:p w:rsidR="001030C0" w:rsidRPr="00DD5E2A" w:rsidRDefault="001030C0" w:rsidP="001030C0">
      <w:pPr>
        <w:pStyle w:val="ListParagraph"/>
        <w:rPr>
          <w:rFonts w:cs="Arial"/>
          <w:sz w:val="22"/>
        </w:rPr>
      </w:pPr>
    </w:p>
    <w:p w:rsidR="001030C0" w:rsidRPr="00DD5E2A" w:rsidRDefault="001030C0" w:rsidP="004C0290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DD5E2A">
        <w:rPr>
          <w:rFonts w:cs="Arial"/>
          <w:sz w:val="22"/>
        </w:rPr>
        <w:t>Collaborate with all local schools to deal with the fall-out of the closure of a school (paragraph 2.25)</w:t>
      </w:r>
    </w:p>
    <w:p w:rsidR="001030C0" w:rsidRPr="00DD5E2A" w:rsidRDefault="001030C0" w:rsidP="001030C0">
      <w:pPr>
        <w:pStyle w:val="ListParagraph"/>
        <w:rPr>
          <w:rFonts w:cs="Arial"/>
          <w:sz w:val="22"/>
        </w:rPr>
      </w:pPr>
    </w:p>
    <w:p w:rsidR="00993674" w:rsidRPr="00DD5E2A" w:rsidRDefault="00064C9E" w:rsidP="00A17927">
      <w:pPr>
        <w:pStyle w:val="ListParagraph"/>
        <w:rPr>
          <w:rFonts w:cs="Arial"/>
          <w:sz w:val="22"/>
        </w:rPr>
      </w:pPr>
      <w:r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61C5" wp14:editId="6428AE9C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31510" cy="2686050"/>
                <wp:effectExtent l="0" t="0" r="254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68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C1F" w:rsidRDefault="00B36C1F" w:rsidP="00B36C1F">
                            <w:pPr>
                              <w:spacing w:after="0"/>
                              <w:ind w:left="720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q)   </w:t>
                            </w:r>
                            <w:r w:rsidR="008B383D">
                              <w:rPr>
                                <w:rFonts w:cs="Arial"/>
                                <w:sz w:val="22"/>
                              </w:rPr>
                              <w:t>M</w:t>
                            </w:r>
                            <w:r w:rsidRPr="00B36C1F">
                              <w:rPr>
                                <w:rFonts w:cs="Arial"/>
                                <w:sz w:val="22"/>
                              </w:rPr>
                              <w:t xml:space="preserve">ust refer an objection if they know or suspect that an OAA's arrangements </w:t>
                            </w:r>
                          </w:p>
                          <w:p w:rsidR="00B36C1F" w:rsidRPr="00B36C1F" w:rsidRDefault="00B36C1F" w:rsidP="00C067FA">
                            <w:pPr>
                              <w:spacing w:after="0"/>
                              <w:ind w:left="720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B36C1F">
                              <w:rPr>
                                <w:rFonts w:cs="Arial"/>
                                <w:sz w:val="22"/>
                              </w:rPr>
                              <w:t xml:space="preserve">unlawful by 15 May (paragraphs 3.2 and 3.5)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</w:p>
                          <w:p w:rsidR="00B36C1F" w:rsidRDefault="00B36C1F" w:rsidP="00C067FA">
                            <w:pPr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DD5E2A" w:rsidRPr="00DD5E2A" w:rsidRDefault="00DD5E2A" w:rsidP="00C067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  <w:r w:rsidRPr="00DD5E2A">
                              <w:rPr>
                                <w:rFonts w:cs="Arial"/>
                                <w:sz w:val="22"/>
                              </w:rPr>
                              <w:t>must have Fair Access Protocol agreed with the majority of schools in its area (paragraph 3.9)</w:t>
                            </w:r>
                          </w:p>
                          <w:p w:rsidR="00DD5E2A" w:rsidRPr="00DD5E2A" w:rsidRDefault="00DD5E2A" w:rsidP="00C067FA">
                            <w:pPr>
                              <w:pStyle w:val="ListParagraph"/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DD5E2A" w:rsidRPr="00DD5E2A" w:rsidRDefault="00DD5E2A" w:rsidP="00C067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  <w:r w:rsidRPr="00DD5E2A">
                              <w:rPr>
                                <w:rFonts w:cs="Arial"/>
                                <w:sz w:val="22"/>
                              </w:rPr>
                              <w:t>deal with referrals from OAAs where a child with challenging behaviour is not admitted (paragraph 3.12)</w:t>
                            </w:r>
                          </w:p>
                          <w:p w:rsidR="00DD5E2A" w:rsidRPr="00DD5E2A" w:rsidRDefault="00DD5E2A" w:rsidP="00C067FA">
                            <w:pPr>
                              <w:pStyle w:val="ListParagraph"/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DD5E2A" w:rsidRDefault="00DD5E2A" w:rsidP="00C067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  <w:r w:rsidRPr="00DD5E2A">
                              <w:rPr>
                                <w:rFonts w:cs="Arial"/>
                                <w:sz w:val="22"/>
                              </w:rPr>
                              <w:t>exercise powers of direction to admit or seek Secretary of State direction to admit (paragraphs 3.1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6</w:t>
                            </w:r>
                            <w:r w:rsidRPr="00DD5E2A">
                              <w:rPr>
                                <w:rFonts w:cs="Arial"/>
                                <w:sz w:val="22"/>
                              </w:rPr>
                              <w:t xml:space="preserve"> to 3.22)</w:t>
                            </w:r>
                          </w:p>
                          <w:p w:rsidR="00064C9E" w:rsidRPr="00064C9E" w:rsidRDefault="00064C9E" w:rsidP="00064C9E">
                            <w:pPr>
                              <w:spacing w:after="0"/>
                              <w:ind w:left="72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064C9E" w:rsidRPr="00DD5E2A" w:rsidRDefault="0033589B" w:rsidP="00C067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To provide a report for the Office of the Schools Adjudicator and publish this by 30 June each year (mandatory)</w:t>
                            </w:r>
                          </w:p>
                          <w:p w:rsidR="00DD5E2A" w:rsidRPr="00DD5E2A" w:rsidRDefault="00DD5E2A" w:rsidP="00A17927">
                            <w:pPr>
                              <w:pStyle w:val="ListParagraph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DD5E2A" w:rsidRPr="00DD5E2A" w:rsidRDefault="00DD5E2A" w:rsidP="00970A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DD5E2A">
                              <w:rPr>
                                <w:rFonts w:cs="Arial"/>
                                <w:sz w:val="22"/>
                              </w:rPr>
                              <w:t xml:space="preserve">produce an annual report </w:t>
                            </w:r>
                            <w:r w:rsidR="00C73E77">
                              <w:rPr>
                                <w:rFonts w:cs="Arial"/>
                                <w:sz w:val="22"/>
                              </w:rPr>
                              <w:t xml:space="preserve">for the Office of the Schools Adjudicator </w:t>
                            </w:r>
                            <w:r w:rsidRPr="00DD5E2A">
                              <w:rPr>
                                <w:rFonts w:cs="Arial"/>
                                <w:sz w:val="22"/>
                              </w:rPr>
                              <w:t>on admissions (paragraphs 3.23)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961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0.1pt;margin-top:8.25pt;width:451.3pt;height:2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" fillcolor="#e5b8b7 [1301]" stroked="f">
                <v:textbox>
                  <w:txbxContent>
                    <w:p w:rsidR="00B36C1F" w:rsidRDefault="00B36C1F" w:rsidP="00B36C1F">
                      <w:pPr>
                        <w:spacing w:after="0"/>
                        <w:ind w:left="720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q)   </w:t>
                      </w:r>
                      <w:r w:rsidR="008B383D">
                        <w:rPr>
                          <w:rFonts w:cs="Arial"/>
                          <w:sz w:val="22"/>
                        </w:rPr>
                        <w:t>M</w:t>
                      </w:r>
                      <w:r w:rsidRPr="00B36C1F">
                        <w:rPr>
                          <w:rFonts w:cs="Arial"/>
                          <w:sz w:val="22"/>
                        </w:rPr>
                        <w:t xml:space="preserve">ust refer an objection if they know or suspect that an OAA's arrangements </w:t>
                      </w:r>
                    </w:p>
                    <w:p w:rsidR="00B36C1F" w:rsidRPr="00B36C1F" w:rsidRDefault="00B36C1F" w:rsidP="00C067FA">
                      <w:pPr>
                        <w:spacing w:after="0"/>
                        <w:ind w:left="720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cs="Arial"/>
                          <w:sz w:val="22"/>
                        </w:rPr>
                        <w:t>are</w:t>
                      </w:r>
                      <w:proofErr w:type="gramEnd"/>
                      <w:r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B36C1F">
                        <w:rPr>
                          <w:rFonts w:cs="Arial"/>
                          <w:sz w:val="22"/>
                        </w:rPr>
                        <w:t xml:space="preserve">unlawful by 15 May (paragraphs 3.2 and 3.5) </w:t>
                      </w:r>
                      <w:r>
                        <w:rPr>
                          <w:rFonts w:cs="Arial"/>
                          <w:sz w:val="22"/>
                        </w:rPr>
                        <w:t xml:space="preserve">     </w:t>
                      </w:r>
                      <w:r>
                        <w:rPr>
                          <w:rFonts w:cs="Arial"/>
                          <w:sz w:val="22"/>
                        </w:rPr>
                        <w:tab/>
                      </w:r>
                    </w:p>
                    <w:p w:rsidR="00B36C1F" w:rsidRDefault="00B36C1F" w:rsidP="00C067FA">
                      <w:pPr>
                        <w:spacing w:after="0"/>
                        <w:rPr>
                          <w:rFonts w:cs="Arial"/>
                          <w:sz w:val="22"/>
                        </w:rPr>
                      </w:pPr>
                    </w:p>
                    <w:p w:rsidR="00DD5E2A" w:rsidRPr="00DD5E2A" w:rsidRDefault="00DD5E2A" w:rsidP="00C067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Arial"/>
                          <w:sz w:val="22"/>
                        </w:rPr>
                      </w:pPr>
                      <w:r w:rsidRPr="00DD5E2A">
                        <w:rPr>
                          <w:rFonts w:cs="Arial"/>
                          <w:sz w:val="22"/>
                        </w:rPr>
                        <w:t>must have Fair Access Protocol agreed with the majority of schools in its area (paragraph 3.9)</w:t>
                      </w:r>
                    </w:p>
                    <w:p w:rsidR="00DD5E2A" w:rsidRPr="00DD5E2A" w:rsidRDefault="00DD5E2A" w:rsidP="00C067FA">
                      <w:pPr>
                        <w:pStyle w:val="ListParagraph"/>
                        <w:spacing w:after="0"/>
                        <w:rPr>
                          <w:rFonts w:cs="Arial"/>
                          <w:sz w:val="22"/>
                        </w:rPr>
                      </w:pPr>
                    </w:p>
                    <w:p w:rsidR="00DD5E2A" w:rsidRPr="00DD5E2A" w:rsidRDefault="00DD5E2A" w:rsidP="00C067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Arial"/>
                          <w:sz w:val="22"/>
                        </w:rPr>
                      </w:pPr>
                      <w:r w:rsidRPr="00DD5E2A">
                        <w:rPr>
                          <w:rFonts w:cs="Arial"/>
                          <w:sz w:val="22"/>
                        </w:rPr>
                        <w:t>deal with referrals from OAAs where a child with challenging behaviour is not admitted (paragraph 3.12)</w:t>
                      </w:r>
                    </w:p>
                    <w:p w:rsidR="00DD5E2A" w:rsidRPr="00DD5E2A" w:rsidRDefault="00DD5E2A" w:rsidP="00C067FA">
                      <w:pPr>
                        <w:pStyle w:val="ListParagraph"/>
                        <w:spacing w:after="0"/>
                        <w:rPr>
                          <w:rFonts w:cs="Arial"/>
                          <w:sz w:val="22"/>
                        </w:rPr>
                      </w:pPr>
                    </w:p>
                    <w:p w:rsidR="00DD5E2A" w:rsidRDefault="00DD5E2A" w:rsidP="00C067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Arial"/>
                          <w:sz w:val="22"/>
                        </w:rPr>
                      </w:pPr>
                      <w:r w:rsidRPr="00DD5E2A">
                        <w:rPr>
                          <w:rFonts w:cs="Arial"/>
                          <w:sz w:val="22"/>
                        </w:rPr>
                        <w:t>exercise powers of direction to admit or seek Secretary of State direction to admit (paragraphs 3.1</w:t>
                      </w:r>
                      <w:r>
                        <w:rPr>
                          <w:rFonts w:cs="Arial"/>
                          <w:sz w:val="22"/>
                        </w:rPr>
                        <w:t>6</w:t>
                      </w:r>
                      <w:r w:rsidRPr="00DD5E2A">
                        <w:rPr>
                          <w:rFonts w:cs="Arial"/>
                          <w:sz w:val="22"/>
                        </w:rPr>
                        <w:t xml:space="preserve"> to 3.22)</w:t>
                      </w:r>
                    </w:p>
                    <w:p w:rsidR="00064C9E" w:rsidRPr="00064C9E" w:rsidRDefault="00064C9E" w:rsidP="00064C9E">
                      <w:pPr>
                        <w:spacing w:after="0"/>
                        <w:ind w:left="720"/>
                        <w:rPr>
                          <w:rFonts w:cs="Arial"/>
                          <w:sz w:val="22"/>
                        </w:rPr>
                      </w:pPr>
                    </w:p>
                    <w:p w:rsidR="00064C9E" w:rsidRPr="00DD5E2A" w:rsidRDefault="0033589B" w:rsidP="00C067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To provide a report for the Office of the Schools Adjudicator and publish this by 30 June each year (mandatory)</w:t>
                      </w:r>
                    </w:p>
                    <w:p w:rsidR="00DD5E2A" w:rsidRPr="00DD5E2A" w:rsidRDefault="00DD5E2A" w:rsidP="00A17927">
                      <w:pPr>
                        <w:pStyle w:val="ListParagraph"/>
                        <w:rPr>
                          <w:rFonts w:cs="Arial"/>
                          <w:sz w:val="22"/>
                        </w:rPr>
                      </w:pPr>
                    </w:p>
                    <w:p w:rsidR="00DD5E2A" w:rsidRPr="00DD5E2A" w:rsidRDefault="00DD5E2A" w:rsidP="00970A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DD5E2A">
                        <w:rPr>
                          <w:rFonts w:cs="Arial"/>
                          <w:sz w:val="22"/>
                        </w:rPr>
                        <w:t xml:space="preserve">produce an annual report </w:t>
                      </w:r>
                      <w:r w:rsidR="00C73E77">
                        <w:rPr>
                          <w:rFonts w:cs="Arial"/>
                          <w:sz w:val="22"/>
                        </w:rPr>
                        <w:t xml:space="preserve">for the Office of the Schools Adjudicator </w:t>
                      </w:r>
                      <w:r w:rsidRPr="00DD5E2A">
                        <w:rPr>
                          <w:rFonts w:cs="Arial"/>
                          <w:sz w:val="22"/>
                        </w:rPr>
                        <w:t>on admissions (paragraphs 3.23)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927" w:rsidRPr="00DD5E2A" w:rsidRDefault="004B3961" w:rsidP="00A17927">
      <w:pPr>
        <w:pStyle w:val="ListParagraph"/>
        <w:rPr>
          <w:rFonts w:cs="Arial"/>
          <w:sz w:val="22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89C86" wp14:editId="79397BF2">
                <wp:simplePos x="0" y="0"/>
                <wp:positionH relativeFrom="column">
                  <wp:posOffset>53340</wp:posOffset>
                </wp:positionH>
                <wp:positionV relativeFrom="paragraph">
                  <wp:posOffset>124460</wp:posOffset>
                </wp:positionV>
                <wp:extent cx="5687695" cy="2263140"/>
                <wp:effectExtent l="0" t="4445" r="254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2263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A" w:rsidRDefault="00DD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9C86" id="Text Box 8" o:spid="_x0000_s1028" type="#_x0000_t202" style="position:absolute;left:0;text-align:left;margin-left:4.2pt;margin-top:9.8pt;width:447.85pt;height:17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" fillcolor="#c2d69b [1942]" stroked="f">
                <v:textbox>
                  <w:txbxContent>
                    <w:p w:rsidR="00DD5E2A" w:rsidRDefault="00DD5E2A"/>
                  </w:txbxContent>
                </v:textbox>
              </v:shape>
            </w:pict>
          </mc:Fallback>
        </mc:AlternateContent>
      </w:r>
    </w:p>
    <w:p w:rsidR="00A17927" w:rsidRPr="00DD5E2A" w:rsidRDefault="00A17927" w:rsidP="00A17927">
      <w:pPr>
        <w:pStyle w:val="ListParagraph"/>
        <w:numPr>
          <w:ilvl w:val="0"/>
          <w:numId w:val="1"/>
        </w:numPr>
        <w:rPr>
          <w:rFonts w:cs="Arial"/>
          <w:sz w:val="22"/>
          <w:u w:val="single"/>
        </w:rPr>
      </w:pPr>
      <w:r w:rsidRPr="00DD5E2A">
        <w:rPr>
          <w:rFonts w:cs="Arial"/>
          <w:sz w:val="22"/>
          <w:u w:val="single"/>
        </w:rPr>
        <w:t>To carry out specific functions set out in the code and other</w:t>
      </w:r>
      <w:r w:rsidR="00BC2CD8" w:rsidRPr="00DD5E2A">
        <w:rPr>
          <w:rFonts w:cs="Arial"/>
          <w:sz w:val="22"/>
          <w:u w:val="single"/>
        </w:rPr>
        <w:t>wise, on behalf of looked-</w:t>
      </w:r>
      <w:r w:rsidRPr="00DD5E2A">
        <w:rPr>
          <w:rFonts w:cs="Arial"/>
          <w:sz w:val="22"/>
          <w:u w:val="single"/>
        </w:rPr>
        <w:t>after children and children who have been looked after</w:t>
      </w:r>
    </w:p>
    <w:p w:rsidR="00A17927" w:rsidRPr="00DD5E2A" w:rsidRDefault="00A17927" w:rsidP="00A17927">
      <w:pPr>
        <w:pStyle w:val="ListParagraph"/>
        <w:ind w:left="1080"/>
        <w:rPr>
          <w:rFonts w:cs="Arial"/>
          <w:sz w:val="22"/>
          <w:u w:val="single"/>
        </w:rPr>
      </w:pPr>
    </w:p>
    <w:p w:rsidR="00B372D5" w:rsidRPr="00DD5E2A" w:rsidRDefault="00DD5E2A" w:rsidP="00A1792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e</w:t>
      </w:r>
      <w:r w:rsidR="00A17927" w:rsidRPr="00DD5E2A">
        <w:rPr>
          <w:rFonts w:cs="Arial"/>
          <w:sz w:val="22"/>
        </w:rPr>
        <w:t>xpress a school preference on behalf of looked-after children</w:t>
      </w:r>
      <w:r w:rsidR="00B372D5" w:rsidRPr="00DD5E2A">
        <w:rPr>
          <w:rFonts w:cs="Arial"/>
          <w:sz w:val="22"/>
        </w:rPr>
        <w:t>, and to ensure  that these preferences are dealt with properly (</w:t>
      </w:r>
      <w:r w:rsidR="0025649F">
        <w:rPr>
          <w:rFonts w:cs="Arial"/>
          <w:sz w:val="22"/>
        </w:rPr>
        <w:t>c</w:t>
      </w:r>
      <w:r w:rsidR="00B372D5" w:rsidRPr="00DD5E2A">
        <w:rPr>
          <w:rFonts w:cs="Arial"/>
          <w:sz w:val="22"/>
        </w:rPr>
        <w:t>orporate parent role)</w:t>
      </w:r>
    </w:p>
    <w:p w:rsidR="00B372D5" w:rsidRPr="00DD5E2A" w:rsidRDefault="00B372D5" w:rsidP="00B372D5">
      <w:pPr>
        <w:pStyle w:val="ListParagraph"/>
        <w:ind w:left="1080"/>
        <w:rPr>
          <w:rFonts w:cs="Arial"/>
          <w:sz w:val="22"/>
        </w:rPr>
      </w:pPr>
    </w:p>
    <w:p w:rsidR="00B372D5" w:rsidRPr="00DD5E2A" w:rsidRDefault="00DD5E2A" w:rsidP="00B372D5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e</w:t>
      </w:r>
      <w:r w:rsidR="00B372D5" w:rsidRPr="00DD5E2A">
        <w:rPr>
          <w:rFonts w:cs="Arial"/>
          <w:sz w:val="22"/>
        </w:rPr>
        <w:t xml:space="preserve">nsure that </w:t>
      </w:r>
      <w:r w:rsidR="001426CC">
        <w:rPr>
          <w:rFonts w:cs="Arial"/>
          <w:sz w:val="22"/>
        </w:rPr>
        <w:t xml:space="preserve">all admission arrangements relevant to children in care (looked after and previously looked after) comply with the </w:t>
      </w:r>
      <w:r w:rsidR="00B372D5" w:rsidRPr="00DD5E2A">
        <w:rPr>
          <w:rFonts w:cs="Arial"/>
          <w:sz w:val="22"/>
        </w:rPr>
        <w:t>Code (paragraph 1.7)</w:t>
      </w:r>
    </w:p>
    <w:p w:rsidR="00B372D5" w:rsidRPr="00DD5E2A" w:rsidRDefault="00B372D5" w:rsidP="00B372D5">
      <w:pPr>
        <w:pStyle w:val="ListParagraph"/>
        <w:rPr>
          <w:rFonts w:cs="Arial"/>
          <w:sz w:val="22"/>
        </w:rPr>
      </w:pPr>
    </w:p>
    <w:p w:rsidR="00A17927" w:rsidRPr="00DD5E2A" w:rsidRDefault="00DD5E2A" w:rsidP="00B372D5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e</w:t>
      </w:r>
      <w:r w:rsidR="00B372D5" w:rsidRPr="00DD5E2A">
        <w:rPr>
          <w:rFonts w:cs="Arial"/>
          <w:sz w:val="22"/>
        </w:rPr>
        <w:t>xercise powers of direction to admit or seek  Secretary of State direction to admit (paragraphs 3.19 to 3.22)</w:t>
      </w:r>
    </w:p>
    <w:p w:rsidR="00B372D5" w:rsidRPr="00DD5E2A" w:rsidRDefault="00B372D5" w:rsidP="00B372D5">
      <w:pPr>
        <w:pStyle w:val="ListParagraph"/>
        <w:rPr>
          <w:rFonts w:cs="Arial"/>
          <w:sz w:val="22"/>
        </w:rPr>
      </w:pPr>
    </w:p>
    <w:p w:rsidR="00B372D5" w:rsidRPr="00DD5E2A" w:rsidRDefault="00B372D5" w:rsidP="00B372D5">
      <w:pPr>
        <w:pStyle w:val="ListParagraph"/>
        <w:ind w:left="1080"/>
        <w:rPr>
          <w:rFonts w:cs="Arial"/>
          <w:sz w:val="22"/>
        </w:rPr>
      </w:pPr>
    </w:p>
    <w:p w:rsidR="00B372D5" w:rsidRPr="00DD5E2A" w:rsidRDefault="004B3961" w:rsidP="00B372D5">
      <w:pPr>
        <w:pStyle w:val="ListParagraph"/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5687695" cy="769620"/>
                <wp:effectExtent l="0" t="0" r="254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A" w:rsidRDefault="00DD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.2pt;margin-top:11.95pt;width:447.85pt;height:60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" fillcolor="#95b3d7 [1940]" stroked="f">
                <v:textbox>
                  <w:txbxContent>
                    <w:p w:rsidR="00DD5E2A" w:rsidRDefault="00DD5E2A"/>
                  </w:txbxContent>
                </v:textbox>
              </v:shape>
            </w:pict>
          </mc:Fallback>
        </mc:AlternateContent>
      </w:r>
    </w:p>
    <w:p w:rsidR="00B372D5" w:rsidRPr="00DD5E2A" w:rsidRDefault="00BC2CD8" w:rsidP="00B372D5">
      <w:pPr>
        <w:pStyle w:val="ListParagraph"/>
        <w:numPr>
          <w:ilvl w:val="0"/>
          <w:numId w:val="1"/>
        </w:numPr>
        <w:rPr>
          <w:rFonts w:cs="Arial"/>
          <w:sz w:val="22"/>
          <w:u w:val="single"/>
        </w:rPr>
      </w:pPr>
      <w:r w:rsidRPr="00DD5E2A">
        <w:rPr>
          <w:rFonts w:cs="Arial"/>
          <w:sz w:val="22"/>
          <w:u w:val="single"/>
        </w:rPr>
        <w:t>T</w:t>
      </w:r>
      <w:r w:rsidR="00B372D5" w:rsidRPr="00DD5E2A">
        <w:rPr>
          <w:rFonts w:cs="Arial"/>
          <w:sz w:val="22"/>
          <w:u w:val="single"/>
        </w:rPr>
        <w:t>o act as an admission's authority</w:t>
      </w:r>
    </w:p>
    <w:p w:rsidR="00B100B3" w:rsidRDefault="00B372D5" w:rsidP="00B372D5">
      <w:pPr>
        <w:ind w:left="720"/>
        <w:rPr>
          <w:rFonts w:cs="Arial"/>
          <w:sz w:val="22"/>
        </w:rPr>
      </w:pPr>
      <w:r w:rsidRPr="00DD5E2A">
        <w:rPr>
          <w:rFonts w:cs="Arial"/>
          <w:sz w:val="22"/>
        </w:rPr>
        <w:t xml:space="preserve">The general duties of admissions authorities are set out throughout the </w:t>
      </w:r>
      <w:r w:rsidR="00B100B3">
        <w:rPr>
          <w:rFonts w:cs="Arial"/>
          <w:sz w:val="22"/>
        </w:rPr>
        <w:t xml:space="preserve">School Admissions </w:t>
      </w:r>
      <w:r w:rsidRPr="00DD5E2A">
        <w:rPr>
          <w:rFonts w:cs="Arial"/>
          <w:sz w:val="22"/>
        </w:rPr>
        <w:t xml:space="preserve">Code </w:t>
      </w:r>
      <w:r w:rsidR="00B100B3">
        <w:rPr>
          <w:rFonts w:cs="Arial"/>
          <w:sz w:val="22"/>
        </w:rPr>
        <w:t>(December 2014)</w:t>
      </w:r>
    </w:p>
    <w:p w:rsidR="00B372D5" w:rsidRPr="00DD5E2A" w:rsidRDefault="004B3961" w:rsidP="008D181C">
      <w:pPr>
        <w:ind w:left="720"/>
        <w:rPr>
          <w:rFonts w:cs="Arial"/>
          <w:sz w:val="22"/>
          <w:u w:val="single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5570220" cy="1203960"/>
                <wp:effectExtent l="0" t="2540" r="1905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203960"/>
                        </a:xfrm>
                        <a:prstGeom prst="rect">
                          <a:avLst/>
                        </a:prstGeom>
                        <a:solidFill>
                          <a:srgbClr val="DDA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A" w:rsidRDefault="00DD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pt;margin-top:22.55pt;width:438.6pt;height: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" fillcolor="#dda509" stroked="f">
                <v:textbox>
                  <w:txbxContent>
                    <w:p w:rsidR="00DD5E2A" w:rsidRDefault="00DD5E2A"/>
                  </w:txbxContent>
                </v:textbox>
              </v:shape>
            </w:pict>
          </mc:Fallback>
        </mc:AlternateContent>
      </w:r>
    </w:p>
    <w:p w:rsidR="00B372D5" w:rsidRPr="00DD5E2A" w:rsidRDefault="004B3961" w:rsidP="001D1A36">
      <w:pPr>
        <w:ind w:left="720"/>
        <w:rPr>
          <w:rFonts w:cs="Arial"/>
          <w:sz w:val="22"/>
        </w:rPr>
      </w:pPr>
      <w:r w:rsidRPr="00E76D5F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5570220" cy="1203960"/>
                <wp:effectExtent l="0" t="0" r="190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203960"/>
                        </a:xfrm>
                        <a:prstGeom prst="rect">
                          <a:avLst/>
                        </a:prstGeom>
                        <a:solidFill>
                          <a:srgbClr val="DDA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5F" w:rsidRDefault="00E76D5F" w:rsidP="00E7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9pt;margin-top:22.55pt;width:438.6pt;height: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" fillcolor="#dda509" stroked="f">
                <v:textbox>
                  <w:txbxContent>
                    <w:p w:rsidR="00E76D5F" w:rsidRDefault="00E76D5F" w:rsidP="00E76D5F"/>
                  </w:txbxContent>
                </v:textbox>
              </v:shape>
            </w:pict>
          </mc:Fallback>
        </mc:AlternateContent>
      </w:r>
      <w:r w:rsidR="00E76D5F" w:rsidRPr="00E76D5F">
        <w:rPr>
          <w:rFonts w:cs="Arial"/>
          <w:sz w:val="22"/>
        </w:rPr>
        <w:t>4.</w:t>
      </w:r>
      <w:r w:rsidR="00E76D5F">
        <w:rPr>
          <w:rFonts w:cs="Arial"/>
          <w:sz w:val="22"/>
        </w:rPr>
        <w:t xml:space="preserve">   </w:t>
      </w:r>
      <w:r w:rsidR="00E76D5F">
        <w:rPr>
          <w:rFonts w:cs="Arial"/>
          <w:sz w:val="22"/>
          <w:u w:val="single"/>
        </w:rPr>
        <w:t>T</w:t>
      </w:r>
      <w:r w:rsidR="00E76D5F" w:rsidRPr="00DD5E2A">
        <w:rPr>
          <w:rFonts w:cs="Arial"/>
          <w:sz w:val="22"/>
          <w:u w:val="single"/>
        </w:rPr>
        <w:t>o work with other admissions authorities to ensure that they operate lawfully</w:t>
      </w:r>
      <w:r w:rsidR="00DD5E2A" w:rsidRPr="00DD5E2A">
        <w:rPr>
          <w:rFonts w:cs="Arial"/>
          <w:sz w:val="22"/>
        </w:rPr>
        <w:tab/>
      </w:r>
    </w:p>
    <w:p w:rsidR="00B372D5" w:rsidRPr="00DD5E2A" w:rsidRDefault="00DD5E2A" w:rsidP="00B372D5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 w:rsidRPr="00DD5E2A">
        <w:rPr>
          <w:rFonts w:cs="Arial"/>
          <w:b/>
          <w:sz w:val="22"/>
        </w:rPr>
        <w:t>m</w:t>
      </w:r>
      <w:r w:rsidR="00B372D5" w:rsidRPr="00DD5E2A">
        <w:rPr>
          <w:rFonts w:cs="Arial"/>
          <w:b/>
          <w:sz w:val="22"/>
        </w:rPr>
        <w:t>ust</w:t>
      </w:r>
      <w:r w:rsidR="00B372D5" w:rsidRPr="00DD5E2A">
        <w:rPr>
          <w:rFonts w:cs="Arial"/>
          <w:sz w:val="22"/>
        </w:rPr>
        <w:t xml:space="preserve"> refer an objection to the schools adjudicator if they know or suspect that an OAA's are unlawful by </w:t>
      </w:r>
      <w:r w:rsidR="001D1A36">
        <w:rPr>
          <w:rFonts w:cs="Arial"/>
          <w:sz w:val="22"/>
        </w:rPr>
        <w:t>15 May</w:t>
      </w:r>
      <w:r w:rsidR="00B372D5" w:rsidRPr="00DD5E2A">
        <w:rPr>
          <w:rFonts w:cs="Arial"/>
          <w:sz w:val="22"/>
        </w:rPr>
        <w:t xml:space="preserve"> (paragraphs 3.2 and 3.5)</w:t>
      </w:r>
    </w:p>
    <w:p w:rsidR="00B372D5" w:rsidRPr="001D1A36" w:rsidRDefault="00DD5E2A" w:rsidP="00E71989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1D1A36">
        <w:rPr>
          <w:rFonts w:cs="Arial"/>
          <w:b/>
          <w:sz w:val="22"/>
        </w:rPr>
        <w:t>m</w:t>
      </w:r>
      <w:r w:rsidR="00B372D5" w:rsidRPr="001D1A36">
        <w:rPr>
          <w:rFonts w:cs="Arial"/>
          <w:b/>
          <w:sz w:val="22"/>
        </w:rPr>
        <w:t xml:space="preserve">ust </w:t>
      </w:r>
      <w:r w:rsidR="00B372D5" w:rsidRPr="001D1A36">
        <w:rPr>
          <w:rFonts w:cs="Arial"/>
          <w:sz w:val="22"/>
        </w:rPr>
        <w:t>take action</w:t>
      </w:r>
      <w:r w:rsidR="00C10406">
        <w:rPr>
          <w:rFonts w:cs="Arial"/>
          <w:sz w:val="22"/>
        </w:rPr>
        <w:t xml:space="preserve"> by referring a case to the Office of the Schools Adjudicator or Secretary of State</w:t>
      </w:r>
      <w:r w:rsidR="00B372D5" w:rsidRPr="001D1A36">
        <w:rPr>
          <w:rFonts w:cs="Arial"/>
          <w:sz w:val="22"/>
        </w:rPr>
        <w:t xml:space="preserve"> if an</w:t>
      </w:r>
      <w:r w:rsidR="00C10406">
        <w:rPr>
          <w:rFonts w:cs="Arial"/>
          <w:sz w:val="22"/>
        </w:rPr>
        <w:t xml:space="preserve">y admission authority </w:t>
      </w:r>
      <w:bookmarkStart w:id="0" w:name="_GoBack"/>
      <w:bookmarkEnd w:id="0"/>
      <w:r w:rsidR="00B372D5" w:rsidRPr="001D1A36">
        <w:rPr>
          <w:rFonts w:cs="Arial"/>
          <w:sz w:val="22"/>
        </w:rPr>
        <w:t>operates its admissions arrangements unlawfully or fails to comply with a direction (paragraph</w:t>
      </w:r>
      <w:r w:rsidR="00C10406">
        <w:rPr>
          <w:rFonts w:cs="Arial"/>
          <w:sz w:val="22"/>
        </w:rPr>
        <w:t>s</w:t>
      </w:r>
      <w:r w:rsidR="00B372D5" w:rsidRPr="001D1A36">
        <w:rPr>
          <w:rFonts w:cs="Arial"/>
          <w:sz w:val="22"/>
        </w:rPr>
        <w:t xml:space="preserve"> 3.</w:t>
      </w:r>
      <w:r w:rsidR="00C10406">
        <w:rPr>
          <w:rFonts w:cs="Arial"/>
          <w:sz w:val="22"/>
        </w:rPr>
        <w:t>16 to 3.21</w:t>
      </w:r>
      <w:r w:rsidR="00B372D5" w:rsidRPr="001D1A36">
        <w:rPr>
          <w:rFonts w:cs="Arial"/>
          <w:sz w:val="22"/>
        </w:rPr>
        <w:t>)</w:t>
      </w:r>
    </w:p>
    <w:sectPr w:rsidR="00B372D5" w:rsidRPr="001D1A36" w:rsidSect="00B2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2A" w:rsidRDefault="00DD5E2A" w:rsidP="00993674">
      <w:pPr>
        <w:spacing w:after="0" w:line="240" w:lineRule="auto"/>
      </w:pPr>
      <w:r>
        <w:separator/>
      </w:r>
    </w:p>
  </w:endnote>
  <w:endnote w:type="continuationSeparator" w:id="0">
    <w:p w:rsidR="00DD5E2A" w:rsidRDefault="00DD5E2A" w:rsidP="009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D" w:rsidRDefault="00B2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D" w:rsidRDefault="00B25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D" w:rsidRDefault="00B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2A" w:rsidRDefault="00DD5E2A" w:rsidP="00993674">
      <w:pPr>
        <w:spacing w:after="0" w:line="240" w:lineRule="auto"/>
      </w:pPr>
      <w:r>
        <w:separator/>
      </w:r>
    </w:p>
  </w:footnote>
  <w:footnote w:type="continuationSeparator" w:id="0">
    <w:p w:rsidR="00DD5E2A" w:rsidRDefault="00DD5E2A" w:rsidP="0099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D" w:rsidRDefault="00B25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7D" w:rsidRPr="00B25B1D" w:rsidRDefault="002A377D" w:rsidP="00B25B1D">
    <w:pPr>
      <w:pStyle w:val="Header"/>
    </w:pPr>
    <w:r w:rsidRPr="002A377D">
      <w:rPr>
        <w:b/>
        <w:u w:val="single"/>
      </w:rPr>
      <w:t>LOCAL AUTHORITY DUTIES AND RESPONSIBILITIES</w:t>
    </w:r>
    <w:r w:rsidR="00B25B1D">
      <w:t xml:space="preserve">                     (Appendix 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D" w:rsidRDefault="00B25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41F"/>
    <w:multiLevelType w:val="hybridMultilevel"/>
    <w:tmpl w:val="DD8E29BE"/>
    <w:lvl w:ilvl="0" w:tplc="79C628CE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25E55"/>
    <w:multiLevelType w:val="hybridMultilevel"/>
    <w:tmpl w:val="FC16669C"/>
    <w:lvl w:ilvl="0" w:tplc="DFAA07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12351"/>
    <w:multiLevelType w:val="hybridMultilevel"/>
    <w:tmpl w:val="67302A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A24AF"/>
    <w:multiLevelType w:val="hybridMultilevel"/>
    <w:tmpl w:val="7DDCD7C4"/>
    <w:lvl w:ilvl="0" w:tplc="E97CE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00811"/>
    <w:multiLevelType w:val="hybridMultilevel"/>
    <w:tmpl w:val="3842879A"/>
    <w:lvl w:ilvl="0" w:tplc="B164C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dda509,#5991d5,#6397d7"/>
      <o:colormenu v:ext="edit" fillcolor="none [1940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0"/>
    <w:rsid w:val="00057698"/>
    <w:rsid w:val="00064C9E"/>
    <w:rsid w:val="000C6160"/>
    <w:rsid w:val="001030C0"/>
    <w:rsid w:val="001426CC"/>
    <w:rsid w:val="00172E2D"/>
    <w:rsid w:val="001D1A36"/>
    <w:rsid w:val="0025649F"/>
    <w:rsid w:val="002624AC"/>
    <w:rsid w:val="0026280B"/>
    <w:rsid w:val="002A377D"/>
    <w:rsid w:val="003001E0"/>
    <w:rsid w:val="0033589B"/>
    <w:rsid w:val="003A6F5B"/>
    <w:rsid w:val="003A716C"/>
    <w:rsid w:val="00467247"/>
    <w:rsid w:val="004B17A9"/>
    <w:rsid w:val="004B3961"/>
    <w:rsid w:val="004C0290"/>
    <w:rsid w:val="0050352E"/>
    <w:rsid w:val="0061627A"/>
    <w:rsid w:val="00683091"/>
    <w:rsid w:val="006932D7"/>
    <w:rsid w:val="006C6F4E"/>
    <w:rsid w:val="007227DD"/>
    <w:rsid w:val="008921A0"/>
    <w:rsid w:val="008A2B82"/>
    <w:rsid w:val="008B383D"/>
    <w:rsid w:val="008D181C"/>
    <w:rsid w:val="008F3B9D"/>
    <w:rsid w:val="00970A5A"/>
    <w:rsid w:val="00993674"/>
    <w:rsid w:val="00A17927"/>
    <w:rsid w:val="00A73C39"/>
    <w:rsid w:val="00B100B3"/>
    <w:rsid w:val="00B25B1D"/>
    <w:rsid w:val="00B36C1F"/>
    <w:rsid w:val="00B372D5"/>
    <w:rsid w:val="00B8103D"/>
    <w:rsid w:val="00B86E75"/>
    <w:rsid w:val="00B9780A"/>
    <w:rsid w:val="00BC2CD8"/>
    <w:rsid w:val="00C067FA"/>
    <w:rsid w:val="00C10406"/>
    <w:rsid w:val="00C73E77"/>
    <w:rsid w:val="00D27DE9"/>
    <w:rsid w:val="00DC7094"/>
    <w:rsid w:val="00DD5E2A"/>
    <w:rsid w:val="00E76D5F"/>
    <w:rsid w:val="00EC7543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a509,#5991d5,#6397d7"/>
      <o:colormenu v:ext="edit" fillcolor="none [1940]" strokecolor="none" shadowcolor="none"/>
    </o:shapedefaults>
    <o:shapelayout v:ext="edit">
      <o:idmap v:ext="edit" data="1"/>
    </o:shapelayout>
  </w:shapeDefaults>
  <w:decimalSymbol w:val="."/>
  <w:listSeparator w:val=","/>
  <w15:docId w15:val="{398760E8-BEEC-4D92-9EBE-8AD9753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9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B7E1-229D-4A12-9BAD-6339E2C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Bainbridge, Paul</cp:lastModifiedBy>
  <cp:revision>18</cp:revision>
  <cp:lastPrinted>2013-09-09T13:33:00Z</cp:lastPrinted>
  <dcterms:created xsi:type="dcterms:W3CDTF">2016-02-25T09:13:00Z</dcterms:created>
  <dcterms:modified xsi:type="dcterms:W3CDTF">2016-03-02T12:02:00Z</dcterms:modified>
</cp:coreProperties>
</file>